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22</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305612</w:t>
      </w:r>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Incheon, Korea,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22 -26 May</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eastAsia"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4</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lang w:val="en-US" w:eastAsia="zh-CN"/>
        </w:rPr>
        <w:t>discontinuous coverage for IoT-NTN</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In </w:t>
      </w:r>
      <w:r>
        <w:rPr>
          <w:rFonts w:hint="eastAsia" w:ascii="Arial" w:hAnsi="Arial" w:eastAsia="宋体" w:cs="Arial"/>
          <w:kern w:val="0"/>
          <w:sz w:val="20"/>
          <w:szCs w:val="20"/>
          <w:lang w:val="en-US" w:eastAsia="zh-CN"/>
        </w:rPr>
        <w:t xml:space="preserve">last meeting [1], RAN2 discussed the open issues on discontinuous coverage for IoT-NTN and has achieved the </w:t>
      </w:r>
      <w:r>
        <w:rPr>
          <w:rFonts w:ascii="Arial" w:hAnsi="Arial" w:eastAsia="宋体" w:cs="Arial"/>
          <w:kern w:val="0"/>
          <w:sz w:val="20"/>
          <w:szCs w:val="20"/>
          <w:lang w:val="en-GB" w:eastAsia="en-US"/>
        </w:rPr>
        <w:t>following</w:t>
      </w:r>
      <w:r>
        <w:rPr>
          <w:rFonts w:hint="eastAsia" w:ascii="Arial" w:hAnsi="Arial" w:eastAsia="宋体" w:cs="Arial"/>
          <w:kern w:val="0"/>
          <w:sz w:val="20"/>
          <w:szCs w:val="20"/>
          <w:lang w:val="en-US" w:eastAsia="zh-CN"/>
        </w:rPr>
        <w:t xml:space="preserve"> agreements</w:t>
      </w:r>
      <w:r>
        <w:rPr>
          <w:rFonts w:ascii="Arial" w:hAnsi="Arial" w:eastAsia="宋体" w:cs="Arial"/>
          <w:kern w:val="0"/>
          <w:sz w:val="20"/>
          <w:szCs w:val="20"/>
          <w:lang w:val="en-GB" w:eastAsia="en-US"/>
        </w:rPr>
        <w:t xml:space="preserve">: </w:t>
      </w:r>
    </w:p>
    <w:p>
      <w:pPr>
        <w:pStyle w:val="18"/>
        <w:pBdr>
          <w:top w:val="single" w:color="auto" w:sz="4" w:space="1"/>
          <w:left w:val="single" w:color="auto" w:sz="4" w:space="4"/>
          <w:bottom w:val="single" w:color="auto" w:sz="4" w:space="1"/>
          <w:right w:val="single" w:color="auto" w:sz="4" w:space="4"/>
        </w:pBdr>
      </w:pPr>
      <w:r>
        <w:t>Agreements via email – from offline 115:</w:t>
      </w:r>
    </w:p>
    <w:p>
      <w:pPr>
        <w:pStyle w:val="18"/>
        <w:numPr>
          <w:ilvl w:val="0"/>
          <w:numId w:val="2"/>
        </w:numPr>
        <w:pBdr>
          <w:top w:val="single" w:color="auto" w:sz="4" w:space="1"/>
          <w:left w:val="single" w:color="auto" w:sz="4" w:space="4"/>
          <w:bottom w:val="single" w:color="auto" w:sz="4" w:space="1"/>
          <w:right w:val="single" w:color="auto" w:sz="4" w:space="4"/>
        </w:pBdr>
      </w:pPr>
      <w:r>
        <w:t>RAN2 will not introduce any enhancement to allow a UE in RRC Connected to stay in RRC_CONNECTED during/after a coverage gap (e.g. suspend RLM/RLF, activation time in RRC Reconfiguration, CHO enhancement)</w:t>
      </w:r>
    </w:p>
    <w:p>
      <w:pPr>
        <w:pStyle w:val="18"/>
        <w:pBdr>
          <w:top w:val="single" w:color="auto" w:sz="4" w:space="1"/>
          <w:left w:val="single" w:color="auto" w:sz="4" w:space="4"/>
          <w:bottom w:val="single" w:color="auto" w:sz="4" w:space="1"/>
          <w:right w:val="single" w:color="auto" w:sz="4" w:space="4"/>
        </w:pBdr>
      </w:pPr>
      <w:r>
        <w:t>Agreements online:</w:t>
      </w:r>
    </w:p>
    <w:p>
      <w:pPr>
        <w:pStyle w:val="18"/>
        <w:pBdr>
          <w:top w:val="single" w:color="auto" w:sz="4" w:space="1"/>
          <w:left w:val="single" w:color="auto" w:sz="4" w:space="4"/>
          <w:bottom w:val="single" w:color="auto" w:sz="4" w:space="1"/>
          <w:right w:val="single" w:color="auto" w:sz="4" w:space="4"/>
        </w:pBdr>
      </w:pPr>
      <w:r>
        <w:t>1.</w:t>
      </w:r>
      <w:r>
        <w:tab/>
      </w:r>
      <w:r>
        <w:t>RAN2 to introduce enhancement to RRC Release using one of the following options (FFS which one):</w:t>
      </w:r>
    </w:p>
    <w:p>
      <w:pPr>
        <w:pStyle w:val="18"/>
        <w:pBdr>
          <w:top w:val="single" w:color="auto" w:sz="4" w:space="1"/>
          <w:left w:val="single" w:color="auto" w:sz="4" w:space="4"/>
          <w:bottom w:val="single" w:color="auto" w:sz="4" w:space="1"/>
          <w:right w:val="single" w:color="auto" w:sz="4" w:space="4"/>
        </w:pBdr>
      </w:pPr>
      <w:r>
        <w:tab/>
      </w:r>
      <w:r>
        <w:t>-</w:t>
      </w:r>
      <w:r>
        <w:tab/>
      </w:r>
      <w:r>
        <w:t>Explicit RRC Release using a new RRC Release cause</w:t>
      </w:r>
    </w:p>
    <w:p>
      <w:pPr>
        <w:pStyle w:val="18"/>
        <w:pBdr>
          <w:top w:val="single" w:color="auto" w:sz="4" w:space="1"/>
          <w:left w:val="single" w:color="auto" w:sz="4" w:space="4"/>
          <w:bottom w:val="single" w:color="auto" w:sz="4" w:space="1"/>
          <w:right w:val="single" w:color="auto" w:sz="4" w:space="4"/>
        </w:pBdr>
      </w:pPr>
      <w:r>
        <w:tab/>
      </w:r>
      <w:r>
        <w:t>-</w:t>
      </w:r>
      <w:r>
        <w:tab/>
      </w:r>
      <w:r>
        <w:t>UE Autonomous release (e.g. timer based or upon detection of coverage gap)</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sz w:val="21"/>
          <w:szCs w:val="21"/>
          <w:highlight w:val="yellow"/>
          <w:lang w:val="en-GB" w:eastAsia="zh-CN"/>
        </w:rPr>
      </w:pPr>
      <w:r>
        <w:rPr>
          <w:rFonts w:ascii="Arial" w:hAnsi="Arial" w:eastAsia="宋体" w:cs="Arial"/>
          <w:kern w:val="0"/>
          <w:sz w:val="20"/>
          <w:szCs w:val="20"/>
          <w:lang w:val="en-GB"/>
        </w:rPr>
        <w:t xml:space="preserve">This contribution will discuss the </w:t>
      </w:r>
      <w:r>
        <w:rPr>
          <w:rFonts w:hint="eastAsia" w:ascii="Arial" w:hAnsi="Arial" w:eastAsia="宋体" w:cs="Arial"/>
          <w:kern w:val="0"/>
          <w:sz w:val="20"/>
          <w:szCs w:val="20"/>
          <w:lang w:val="en-US" w:eastAsia="zh-CN"/>
        </w:rPr>
        <w:t xml:space="preserve">remain issues and </w:t>
      </w:r>
      <w:r>
        <w:rPr>
          <w:rFonts w:ascii="Arial" w:hAnsi="Arial" w:eastAsia="宋体" w:cs="Arial"/>
          <w:kern w:val="0"/>
          <w:sz w:val="20"/>
          <w:szCs w:val="20"/>
          <w:lang w:val="en-GB"/>
        </w:rPr>
        <w:t xml:space="preserve">potential </w:t>
      </w:r>
      <w:r>
        <w:rPr>
          <w:rFonts w:hint="eastAsia" w:ascii="Arial" w:hAnsi="Arial" w:eastAsia="宋体" w:cs="Arial"/>
          <w:kern w:val="0"/>
          <w:sz w:val="20"/>
          <w:szCs w:val="20"/>
          <w:lang w:val="en-US" w:eastAsia="zh-CN"/>
        </w:rPr>
        <w:t>enhancements on discontinuous coverage</w:t>
      </w:r>
      <w:r>
        <w:rPr>
          <w:rFonts w:ascii="Arial" w:hAnsi="Arial" w:eastAsia="宋体" w:cs="Arial"/>
          <w:kern w:val="0"/>
          <w:sz w:val="20"/>
          <w:szCs w:val="20"/>
          <w:lang w:val="en-GB"/>
        </w:rPr>
        <w:t>.</w:t>
      </w:r>
    </w:p>
    <w:p>
      <w:pPr>
        <w:keepNext/>
        <w:keepLines/>
        <w:widowControl/>
        <w:numPr>
          <w:ilvl w:val="0"/>
          <w:numId w:val="3"/>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ascii="Arial" w:hAnsi="Arial" w:eastAsia="宋体" w:cs="Arial"/>
          <w:kern w:val="0"/>
          <w:sz w:val="32"/>
          <w:szCs w:val="20"/>
          <w:lang w:val="en-GB" w:eastAsia="en-US"/>
        </w:rPr>
        <w:t>2.</w:t>
      </w:r>
      <w:r>
        <w:rPr>
          <w:rFonts w:hint="eastAsia" w:ascii="Arial" w:hAnsi="Arial" w:eastAsia="宋体" w:cs="Arial"/>
          <w:kern w:val="0"/>
          <w:sz w:val="32"/>
          <w:szCs w:val="20"/>
          <w:lang w:val="en-US" w:eastAsia="zh-CN"/>
        </w:rPr>
        <w:t>1</w:t>
      </w:r>
      <w:r>
        <w:rPr>
          <w:rFonts w:ascii="Arial" w:hAnsi="Arial" w:eastAsia="宋体" w:cs="Arial"/>
          <w:kern w:val="0"/>
          <w:sz w:val="32"/>
          <w:szCs w:val="20"/>
          <w:lang w:val="en-GB" w:eastAsia="en-US"/>
        </w:rPr>
        <w:tab/>
      </w:r>
      <w:r>
        <w:rPr>
          <w:rFonts w:hint="eastAsia" w:ascii="Arial" w:hAnsi="Arial" w:eastAsia="宋体" w:cs="Arial"/>
          <w:kern w:val="0"/>
          <w:sz w:val="32"/>
          <w:szCs w:val="20"/>
          <w:lang w:val="en-US" w:eastAsia="zh-CN"/>
        </w:rPr>
        <w:t xml:space="preserve">Support additional satellite info </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As specified in TS 36.331 [2], SIB32 broadcasts the satellite assistance information for discontinuous coverage, and up to 4 satellites are involved due to the limitation of SIB size. In TR 23.700-28 [3], SA2 pointed that the limitation to 4 satellites could limit coverage information to only a short period in the future (e.g. 2 hours). And SA2 expects that the number of satellites RAN broadcasts ephemeris data for will be increased from 4 in Rel-17 to 8 in Rel-18.</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4"/>
              <w:widowControl/>
              <w:jc w:val="left"/>
              <w:rPr>
                <w:rFonts w:hint="default" w:ascii="Times New Roman" w:hAnsi="Times New Roman" w:cs="Times New Roman"/>
                <w:kern w:val="0"/>
                <w:sz w:val="21"/>
                <w:szCs w:val="15"/>
              </w:rPr>
            </w:pPr>
            <w:bookmarkStart w:id="0" w:name="_Toc116639264"/>
            <w:bookmarkStart w:id="1" w:name="_Toc117591044"/>
            <w:r>
              <w:rPr>
                <w:rFonts w:hint="default" w:ascii="Times New Roman" w:hAnsi="Times New Roman" w:cs="Times New Roman"/>
                <w:kern w:val="0"/>
                <w:sz w:val="21"/>
                <w:szCs w:val="15"/>
              </w:rPr>
              <w:t>7.4.1</w:t>
            </w:r>
            <w:r>
              <w:rPr>
                <w:rFonts w:hint="default" w:ascii="Times New Roman" w:hAnsi="Times New Roman" w:cs="Times New Roman"/>
                <w:kern w:val="0"/>
                <w:sz w:val="21"/>
                <w:szCs w:val="15"/>
              </w:rPr>
              <w:tab/>
            </w:r>
            <w:r>
              <w:rPr>
                <w:rFonts w:hint="default" w:ascii="Times New Roman" w:hAnsi="Times New Roman" w:cs="Times New Roman"/>
                <w:kern w:val="0"/>
                <w:sz w:val="21"/>
                <w:szCs w:val="15"/>
              </w:rPr>
              <w:t>To UE</w:t>
            </w:r>
            <w:bookmarkEnd w:id="0"/>
            <w:bookmarkEnd w:id="1"/>
          </w:p>
          <w:p>
            <w:pPr>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eastAsia="Malgun Gothic" w:cs="Times New Roman"/>
                <w:sz w:val="20"/>
                <w:szCs w:val="21"/>
              </w:rPr>
            </w:pPr>
            <w:r>
              <w:rPr>
                <w:rFonts w:hint="default" w:ascii="Times New Roman" w:hAnsi="Times New Roman" w:eastAsia="Malgun Gothic" w:cs="Times New Roman"/>
                <w:sz w:val="20"/>
                <w:szCs w:val="21"/>
              </w:rPr>
              <w:t>The solution in Release 17 relies on broadcast of satellite ephemeris data in a SIB defined in TS 36.331 [16]. The solution is limited to support of ephemeris data for up to 4 satellites. The solution in Release 17 contains the following limitations.</w:t>
            </w:r>
          </w:p>
          <w:p>
            <w:pPr>
              <w:pStyle w:val="17"/>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eastAsia="Malgun Gothic" w:cs="Times New Roman"/>
                <w:sz w:val="20"/>
                <w:szCs w:val="21"/>
              </w:rPr>
            </w:pPr>
            <w:r>
              <w:rPr>
                <w:rFonts w:hint="default" w:ascii="Times New Roman" w:hAnsi="Times New Roman" w:eastAsia="Malgun Gothic" w:cs="Times New Roman"/>
                <w:sz w:val="20"/>
                <w:szCs w:val="21"/>
              </w:rPr>
              <w:t>-</w:t>
            </w:r>
            <w:r>
              <w:rPr>
                <w:rFonts w:hint="default" w:ascii="Times New Roman" w:hAnsi="Times New Roman" w:eastAsia="Malgun Gothic" w:cs="Times New Roman"/>
                <w:sz w:val="20"/>
                <w:szCs w:val="21"/>
              </w:rPr>
              <w:tab/>
            </w:r>
            <w:r>
              <w:rPr>
                <w:rFonts w:hint="default" w:ascii="Times New Roman" w:hAnsi="Times New Roman" w:eastAsia="Malgun Gothic" w:cs="Times New Roman"/>
                <w:sz w:val="20"/>
                <w:szCs w:val="21"/>
              </w:rPr>
              <w:t>A UE would be expected to calculate whether and when each satellite will be visible from a UE location and assume that the satellite might be accessed if the satellite is visible (e.g. with an elevation above 10 degrees). This could be a significant processing burden to an IoT UE, at the opposite of KI#2 objective to save power</w:t>
            </w:r>
          </w:p>
          <w:p>
            <w:pPr>
              <w:pStyle w:val="17"/>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eastAsia="Malgun Gothic" w:cs="Times New Roman"/>
                <w:sz w:val="20"/>
                <w:szCs w:val="21"/>
              </w:rPr>
            </w:pPr>
            <w:r>
              <w:rPr>
                <w:rFonts w:hint="default" w:ascii="Times New Roman" w:hAnsi="Times New Roman" w:eastAsia="Malgun Gothic" w:cs="Times New Roman"/>
                <w:sz w:val="20"/>
                <w:szCs w:val="21"/>
              </w:rPr>
              <w:t>-</w:t>
            </w:r>
            <w:r>
              <w:rPr>
                <w:rFonts w:hint="default" w:ascii="Times New Roman" w:hAnsi="Times New Roman" w:eastAsia="Malgun Gothic" w:cs="Times New Roman"/>
                <w:sz w:val="20"/>
                <w:szCs w:val="21"/>
              </w:rPr>
              <w:tab/>
            </w:r>
            <w:r>
              <w:rPr>
                <w:rFonts w:hint="default" w:ascii="Times New Roman" w:hAnsi="Times New Roman" w:eastAsia="Malgun Gothic" w:cs="Times New Roman"/>
                <w:sz w:val="20"/>
                <w:szCs w:val="21"/>
              </w:rPr>
              <w:t>There is no information in the SIB on whether a satellite supports only certain PLMNs, only certain countries, is operating only at certain times (e.g. not late at night to reduce operating cost) or whether radio cell coverage is for an entire area of satellite visibility or only for some portion of that area.</w:t>
            </w:r>
          </w:p>
          <w:p>
            <w:pPr>
              <w:pStyle w:val="17"/>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eastAsia="Malgun Gothic" w:cs="Times New Roman"/>
                <w:sz w:val="20"/>
                <w:szCs w:val="21"/>
              </w:rPr>
            </w:pPr>
            <w:r>
              <w:rPr>
                <w:rFonts w:hint="default" w:ascii="Times New Roman" w:hAnsi="Times New Roman" w:eastAsia="Malgun Gothic" w:cs="Times New Roman"/>
                <w:sz w:val="20"/>
                <w:szCs w:val="21"/>
              </w:rPr>
              <w:t>-</w:t>
            </w:r>
            <w:r>
              <w:rPr>
                <w:rFonts w:hint="default" w:ascii="Times New Roman" w:hAnsi="Times New Roman" w:eastAsia="Malgun Gothic" w:cs="Times New Roman"/>
                <w:sz w:val="20"/>
                <w:szCs w:val="21"/>
              </w:rPr>
              <w:tab/>
            </w:r>
            <w:r>
              <w:rPr>
                <w:rFonts w:hint="default" w:ascii="Times New Roman" w:hAnsi="Times New Roman" w:eastAsia="Malgun Gothic" w:cs="Times New Roman"/>
                <w:sz w:val="20"/>
                <w:szCs w:val="21"/>
              </w:rPr>
              <w:t>There is no charging capability - this is a free service to all UEs.</w:t>
            </w:r>
          </w:p>
          <w:p>
            <w:pPr>
              <w:pStyle w:val="17"/>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eastAsia="Malgun Gothic" w:cs="Times New Roman"/>
                <w:sz w:val="20"/>
                <w:szCs w:val="21"/>
              </w:rPr>
            </w:pPr>
            <w:r>
              <w:rPr>
                <w:rFonts w:hint="default" w:ascii="Times New Roman" w:hAnsi="Times New Roman" w:eastAsia="Malgun Gothic" w:cs="Times New Roman"/>
                <w:sz w:val="20"/>
                <w:szCs w:val="21"/>
              </w:rPr>
              <w:t>-</w:t>
            </w:r>
            <w:r>
              <w:rPr>
                <w:rFonts w:hint="default" w:ascii="Times New Roman" w:hAnsi="Times New Roman" w:eastAsia="Malgun Gothic" w:cs="Times New Roman"/>
                <w:sz w:val="20"/>
                <w:szCs w:val="21"/>
              </w:rPr>
              <w:tab/>
            </w:r>
            <w:r>
              <w:rPr>
                <w:rFonts w:hint="default" w:ascii="Times New Roman" w:hAnsi="Times New Roman" w:eastAsia="Malgun Gothic" w:cs="Times New Roman"/>
                <w:sz w:val="20"/>
                <w:szCs w:val="21"/>
              </w:rPr>
              <w:t>There is no security - a fake base station could broadcast the SIB to spoof coverage or out of coverage at incorrect times.</w:t>
            </w:r>
          </w:p>
          <w:p>
            <w:pPr>
              <w:pStyle w:val="17"/>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eastAsia="Malgun Gothic" w:cs="Times New Roman"/>
                <w:sz w:val="20"/>
                <w:szCs w:val="21"/>
              </w:rPr>
            </w:pPr>
            <w:r>
              <w:rPr>
                <w:rFonts w:hint="default" w:ascii="Times New Roman" w:hAnsi="Times New Roman" w:eastAsia="Malgun Gothic" w:cs="Times New Roman"/>
                <w:sz w:val="20"/>
                <w:szCs w:val="21"/>
              </w:rPr>
              <w:t>-</w:t>
            </w:r>
            <w:r>
              <w:rPr>
                <w:rFonts w:hint="default" w:ascii="Times New Roman" w:hAnsi="Times New Roman" w:eastAsia="Malgun Gothic" w:cs="Times New Roman"/>
                <w:sz w:val="20"/>
                <w:szCs w:val="21"/>
              </w:rPr>
              <w:tab/>
            </w:r>
            <w:r>
              <w:rPr>
                <w:rFonts w:hint="default" w:ascii="Times New Roman" w:hAnsi="Times New Roman" w:eastAsia="Malgun Gothic" w:cs="Times New Roman"/>
                <w:sz w:val="20"/>
                <w:szCs w:val="21"/>
              </w:rPr>
              <w:t>The SIB seems to be restricted to one satellite RAT only and may not support coverage from all satellite RATs.</w:t>
            </w:r>
          </w:p>
          <w:p>
            <w:pPr>
              <w:pStyle w:val="17"/>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cs="Times New Roman"/>
                <w:sz w:val="21"/>
                <w:szCs w:val="22"/>
              </w:rPr>
            </w:pPr>
            <w:r>
              <w:rPr>
                <w:rFonts w:hint="default" w:ascii="Times New Roman" w:hAnsi="Times New Roman" w:eastAsia="Malgun Gothic" w:cs="Times New Roman"/>
                <w:sz w:val="20"/>
                <w:szCs w:val="21"/>
              </w:rPr>
              <w:t>-</w:t>
            </w:r>
            <w:r>
              <w:rPr>
                <w:rFonts w:hint="default" w:ascii="Times New Roman" w:hAnsi="Times New Roman" w:eastAsia="Malgun Gothic" w:cs="Times New Roman"/>
                <w:sz w:val="20"/>
                <w:szCs w:val="21"/>
              </w:rPr>
              <w:tab/>
            </w:r>
            <w:r>
              <w:rPr>
                <w:rFonts w:hint="default" w:ascii="Times New Roman" w:hAnsi="Times New Roman" w:eastAsia="Malgun Gothic" w:cs="Times New Roman"/>
                <w:color w:val="C00000"/>
                <w:sz w:val="20"/>
                <w:szCs w:val="21"/>
              </w:rPr>
              <w:t>The limitation to 4 satellites could limit coverage information to only a short period in the future (e.g. 2 hours)</w:t>
            </w:r>
            <w:r>
              <w:rPr>
                <w:rFonts w:hint="default" w:ascii="Times New Roman" w:hAnsi="Times New Roman" w:eastAsia="Malgun Gothic" w:cs="Times New Roman"/>
                <w:sz w:val="20"/>
                <w:szCs w:val="21"/>
              </w:rPr>
              <w:t>.</w:t>
            </w:r>
          </w:p>
          <w:p>
            <w:pPr>
              <w:keepNext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cs="Times New Roman" w:eastAsiaTheme="minorEastAsia"/>
                <w:sz w:val="20"/>
                <w:szCs w:val="21"/>
                <w:lang w:eastAsia="zh-CN"/>
              </w:rPr>
            </w:pPr>
            <w:r>
              <w:rPr>
                <w:rFonts w:hint="default" w:ascii="Times New Roman" w:hAnsi="Times New Roman" w:cs="Times New Roman"/>
                <w:sz w:val="20"/>
                <w:szCs w:val="21"/>
                <w:highlight w:val="yellow"/>
              </w:rPr>
              <w:t>The number of satellites RAN broadcasts ephemeris data for will be increased from 4 in Rel-17 to 8 in Rel-18</w:t>
            </w:r>
            <w:r>
              <w:rPr>
                <w:rFonts w:hint="default" w:ascii="Times New Roman" w:hAnsi="Times New Roman" w:cs="Times New Roman"/>
                <w:sz w:val="20"/>
                <w:szCs w:val="21"/>
              </w:rPr>
              <w:t>.</w:t>
            </w:r>
          </w:p>
          <w:p>
            <w:pPr>
              <w:pStyle w:val="20"/>
              <w:keepNext w:val="0"/>
              <w:pageBreakBefore w:val="0"/>
              <w:widowControl w:val="0"/>
              <w:kinsoku/>
              <w:wordWrap/>
              <w:overflowPunct/>
              <w:topLinePunct w:val="0"/>
              <w:autoSpaceDE/>
              <w:autoSpaceDN/>
              <w:bidi w:val="0"/>
              <w:adjustRightInd/>
              <w:snapToGrid/>
              <w:spacing w:after="0" w:afterLines="50"/>
              <w:textAlignment w:val="auto"/>
              <w:rPr>
                <w:rFonts w:hint="default" w:ascii="Arial" w:hAnsi="Arial" w:eastAsia="宋体" w:cs="Arial"/>
                <w:kern w:val="0"/>
                <w:sz w:val="20"/>
                <w:szCs w:val="20"/>
                <w:vertAlign w:val="baseline"/>
                <w:lang w:val="en-US" w:eastAsia="zh-CN"/>
              </w:rPr>
            </w:pPr>
            <w:r>
              <w:rPr>
                <w:rFonts w:hint="default" w:ascii="Times New Roman" w:hAnsi="Times New Roman" w:cs="Times New Roman"/>
                <w:sz w:val="20"/>
                <w:szCs w:val="21"/>
                <w:lang w:val="en-US"/>
              </w:rPr>
              <w:t>NOTE:</w:t>
            </w:r>
            <w:r>
              <w:rPr>
                <w:rFonts w:hint="default" w:ascii="Times New Roman" w:hAnsi="Times New Roman" w:cs="Times New Roman"/>
                <w:sz w:val="20"/>
                <w:szCs w:val="21"/>
                <w:lang w:val="en-US"/>
              </w:rPr>
              <w:tab/>
            </w:r>
            <w:r>
              <w:rPr>
                <w:rFonts w:hint="default" w:ascii="Times New Roman" w:hAnsi="Times New Roman" w:cs="Times New Roman" w:eastAsiaTheme="minorEastAsia"/>
                <w:sz w:val="20"/>
                <w:szCs w:val="21"/>
                <w:lang w:val="en-US" w:eastAsia="zh-CN"/>
              </w:rPr>
              <w:t>W</w:t>
            </w:r>
            <w:r>
              <w:rPr>
                <w:rFonts w:hint="default" w:ascii="Times New Roman" w:hAnsi="Times New Roman" w:cs="Times New Roman"/>
                <w:sz w:val="20"/>
                <w:szCs w:val="21"/>
                <w:lang w:val="en-US"/>
              </w:rPr>
              <w:t>hether the size of SIB is enough to carry the ephemeris data</w:t>
            </w:r>
            <w:r>
              <w:rPr>
                <w:rFonts w:hint="default" w:ascii="Times New Roman" w:hAnsi="Times New Roman" w:cs="Times New Roman" w:eastAsiaTheme="minorEastAsia"/>
                <w:sz w:val="20"/>
                <w:szCs w:val="21"/>
                <w:lang w:val="en-US" w:eastAsia="zh-CN"/>
              </w:rPr>
              <w:t xml:space="preserve"> of</w:t>
            </w:r>
            <w:r>
              <w:rPr>
                <w:rFonts w:hint="default" w:ascii="Times New Roman" w:hAnsi="Times New Roman" w:cs="Times New Roman"/>
                <w:sz w:val="20"/>
                <w:szCs w:val="21"/>
                <w:lang w:val="en-US"/>
              </w:rPr>
              <w:t xml:space="preserve"> 8 satellites needs to</w:t>
            </w:r>
            <w:r>
              <w:rPr>
                <w:rFonts w:hint="default" w:ascii="Times New Roman" w:hAnsi="Times New Roman" w:cs="Times New Roman" w:eastAsiaTheme="minorEastAsia"/>
                <w:sz w:val="20"/>
                <w:szCs w:val="21"/>
                <w:lang w:val="en-US" w:eastAsia="zh-CN"/>
              </w:rPr>
              <w:t xml:space="preserve"> </w:t>
            </w:r>
            <w:r>
              <w:rPr>
                <w:rFonts w:hint="default" w:ascii="Times New Roman" w:hAnsi="Times New Roman" w:cs="Times New Roman"/>
                <w:sz w:val="20"/>
                <w:szCs w:val="21"/>
                <w:lang w:val="en-US"/>
              </w:rPr>
              <w:t>check with the RAN WG2.</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During Rel-17 discussion, some companies proposed to support more satellite assistance information, such as by dedicated signaling, SIB segmentation, multiple SIBs, etc. We think the potential solutions can be considered in Rel-18 to convey more satellite assistance information for better support of discontinuous coverage. </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In comparison, the size of RRC signaling is larger than SIB and RRC signaling can convey more satellite assistance information. On the other hand, RRC signaling is UE specific and can include UE-specific neighbour cell/satellite information. However, the satellite assistance information may be common for many UEs in the same satellite. From the perspective of signaling efficiency, SIB message seems more efficient. </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RRC signaling can convey more satellite assistance information or UE-specific neighbour satellite information compared with SIB.</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2: The satellite assistance information may be common for many UEs, SIB message seems more efficient from the perspective of signaling efficiency.</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Considering the limited SIB size, multiple SIBs or SIB segmentation can be further considered, and the following alternatives can also be discussed.</w:t>
      </w:r>
    </w:p>
    <w:p>
      <w:pPr>
        <w:pStyle w:val="16"/>
        <w:keepNext w:val="0"/>
        <w:keepLines w:val="0"/>
        <w:pageBreakBefore w:val="0"/>
        <w:widowControl w:val="0"/>
        <w:numPr>
          <w:ilvl w:val="0"/>
          <w:numId w:val="0"/>
        </w:numPr>
        <w:kinsoku/>
        <w:wordWrap/>
        <w:overflowPunct/>
        <w:topLinePunct w:val="0"/>
        <w:autoSpaceDE/>
        <w:autoSpaceDN/>
        <w:bidi w:val="0"/>
        <w:adjustRightInd/>
        <w:snapToGrid/>
        <w:spacing w:after="0" w:afterLines="50"/>
        <w:ind w:leftChars="200"/>
        <w:contextualSpacing w:val="0"/>
        <w:textAlignment w:val="auto"/>
        <w:rPr>
          <w:rFonts w:hint="default" w:ascii="Arial" w:hAnsi="Arial" w:eastAsia="等线" w:cs="Arial"/>
          <w:sz w:val="20"/>
          <w:szCs w:val="21"/>
          <w:lang w:eastAsia="zh-CN"/>
        </w:rPr>
      </w:pPr>
      <w:r>
        <w:rPr>
          <w:rFonts w:hint="eastAsia" w:ascii="Arial" w:hAnsi="Arial" w:eastAsia="等线" w:cs="Arial"/>
          <w:sz w:val="20"/>
          <w:szCs w:val="21"/>
          <w:lang w:val="en-US" w:eastAsia="zh-CN"/>
        </w:rPr>
        <w:t xml:space="preserve">- </w:t>
      </w:r>
      <w:r>
        <w:rPr>
          <w:rFonts w:hint="default" w:ascii="Arial" w:hAnsi="Arial" w:eastAsia="等线" w:cs="Arial"/>
          <w:sz w:val="20"/>
          <w:szCs w:val="21"/>
          <w:lang w:eastAsia="zh-CN"/>
        </w:rPr>
        <w:t>Alt</w:t>
      </w:r>
      <w:r>
        <w:rPr>
          <w:rFonts w:hint="eastAsia" w:ascii="Arial" w:hAnsi="Arial" w:eastAsia="等线" w:cs="Arial"/>
          <w:sz w:val="20"/>
          <w:szCs w:val="21"/>
          <w:lang w:val="en-US" w:eastAsia="zh-CN"/>
        </w:rPr>
        <w:t>.1</w:t>
      </w:r>
      <w:r>
        <w:rPr>
          <w:rFonts w:hint="default" w:ascii="Arial" w:hAnsi="Arial" w:eastAsia="等线" w:cs="Arial"/>
          <w:sz w:val="20"/>
          <w:szCs w:val="21"/>
          <w:lang w:eastAsia="zh-CN"/>
        </w:rPr>
        <w:t>: Similar to ETWS/CMAS notification (i.e. SIB 6/7/8)</w:t>
      </w:r>
      <w:r>
        <w:rPr>
          <w:rFonts w:hint="eastAsia" w:ascii="Arial" w:hAnsi="Arial" w:eastAsia="等线" w:cs="Arial"/>
          <w:sz w:val="20"/>
          <w:szCs w:val="21"/>
          <w:lang w:val="en-US" w:eastAsia="zh-CN"/>
        </w:rPr>
        <w:t xml:space="preserve">, </w:t>
      </w:r>
      <w:r>
        <w:rPr>
          <w:rFonts w:hint="default" w:ascii="Arial" w:hAnsi="Arial" w:eastAsia="等线" w:cs="Arial"/>
          <w:sz w:val="20"/>
          <w:szCs w:val="21"/>
          <w:lang w:eastAsia="zh-CN"/>
        </w:rPr>
        <w:t>add 1-bit indication in Short Message to indicate whether there is satellite assistance information.</w:t>
      </w:r>
    </w:p>
    <w:p>
      <w:pPr>
        <w:pStyle w:val="16"/>
        <w:keepNext w:val="0"/>
        <w:keepLines w:val="0"/>
        <w:pageBreakBefore w:val="0"/>
        <w:widowControl w:val="0"/>
        <w:numPr>
          <w:ilvl w:val="0"/>
          <w:numId w:val="0"/>
        </w:numPr>
        <w:kinsoku/>
        <w:wordWrap/>
        <w:overflowPunct/>
        <w:topLinePunct w:val="0"/>
        <w:autoSpaceDE/>
        <w:autoSpaceDN/>
        <w:bidi w:val="0"/>
        <w:adjustRightInd/>
        <w:snapToGrid/>
        <w:spacing w:after="0" w:afterLines="50"/>
        <w:ind w:leftChars="200"/>
        <w:contextualSpacing w:val="0"/>
        <w:textAlignment w:val="auto"/>
        <w:rPr>
          <w:rFonts w:hint="default" w:ascii="Arial" w:hAnsi="Arial" w:eastAsia="等线" w:cs="Arial"/>
          <w:sz w:val="20"/>
          <w:szCs w:val="21"/>
          <w:lang w:eastAsia="zh-CN"/>
        </w:rPr>
      </w:pPr>
      <w:r>
        <w:rPr>
          <w:rFonts w:hint="eastAsia" w:ascii="Arial" w:hAnsi="Arial" w:eastAsia="等线" w:cs="Arial"/>
          <w:sz w:val="20"/>
          <w:szCs w:val="21"/>
          <w:lang w:val="en-US" w:eastAsia="zh-CN"/>
        </w:rPr>
        <w:t xml:space="preserve">- </w:t>
      </w:r>
      <w:r>
        <w:rPr>
          <w:rFonts w:hint="default" w:ascii="Arial" w:hAnsi="Arial" w:eastAsia="等线" w:cs="Arial"/>
          <w:sz w:val="20"/>
          <w:szCs w:val="21"/>
          <w:lang w:eastAsia="zh-CN"/>
        </w:rPr>
        <w:t>Alt</w:t>
      </w:r>
      <w:r>
        <w:rPr>
          <w:rFonts w:hint="eastAsia" w:ascii="Arial" w:hAnsi="Arial" w:eastAsia="等线" w:cs="Arial"/>
          <w:sz w:val="20"/>
          <w:szCs w:val="21"/>
          <w:lang w:val="en-US" w:eastAsia="zh-CN"/>
        </w:rPr>
        <w:t>.2</w:t>
      </w:r>
      <w:r>
        <w:rPr>
          <w:rFonts w:hint="default" w:ascii="Arial" w:hAnsi="Arial" w:eastAsia="等线" w:cs="Arial"/>
          <w:sz w:val="20"/>
          <w:szCs w:val="21"/>
          <w:lang w:eastAsia="zh-CN"/>
        </w:rPr>
        <w:t>: The network may broadcast the association of multiple SIBs in SIB1, and the UE can acquire the corresponding SIB for satellite assistance information.</w:t>
      </w:r>
    </w:p>
    <w:p>
      <w:pPr>
        <w:pStyle w:val="16"/>
        <w:keepNext w:val="0"/>
        <w:keepLines w:val="0"/>
        <w:pageBreakBefore w:val="0"/>
        <w:widowControl w:val="0"/>
        <w:numPr>
          <w:ilvl w:val="0"/>
          <w:numId w:val="0"/>
        </w:numPr>
        <w:kinsoku/>
        <w:wordWrap/>
        <w:overflowPunct/>
        <w:topLinePunct w:val="0"/>
        <w:autoSpaceDE/>
        <w:autoSpaceDN/>
        <w:bidi w:val="0"/>
        <w:adjustRightInd/>
        <w:snapToGrid/>
        <w:spacing w:after="0" w:afterLines="50"/>
        <w:ind w:leftChars="200"/>
        <w:contextualSpacing w:val="0"/>
        <w:textAlignment w:val="auto"/>
        <w:rPr>
          <w:rFonts w:hint="default" w:ascii="Arial" w:hAnsi="Arial" w:eastAsia="等线" w:cs="Arial"/>
          <w:sz w:val="20"/>
          <w:szCs w:val="21"/>
          <w:lang w:eastAsia="zh-CN"/>
        </w:rPr>
      </w:pPr>
      <w:r>
        <w:rPr>
          <w:rFonts w:hint="eastAsia" w:ascii="Arial" w:hAnsi="Arial" w:eastAsia="等线" w:cs="Arial"/>
          <w:sz w:val="20"/>
          <w:szCs w:val="21"/>
          <w:lang w:val="en-US" w:eastAsia="zh-CN"/>
        </w:rPr>
        <w:t xml:space="preserve">- </w:t>
      </w:r>
      <w:r>
        <w:rPr>
          <w:rFonts w:hint="default" w:ascii="Arial" w:hAnsi="Arial" w:eastAsia="等线" w:cs="Arial"/>
          <w:sz w:val="20"/>
          <w:szCs w:val="21"/>
          <w:lang w:eastAsia="zh-CN"/>
        </w:rPr>
        <w:t>Alt</w:t>
      </w:r>
      <w:r>
        <w:rPr>
          <w:rFonts w:hint="eastAsia" w:ascii="Arial" w:hAnsi="Arial" w:eastAsia="等线" w:cs="Arial"/>
          <w:sz w:val="20"/>
          <w:szCs w:val="21"/>
          <w:lang w:val="en-US" w:eastAsia="zh-CN"/>
        </w:rPr>
        <w:t>.3</w:t>
      </w:r>
      <w:r>
        <w:rPr>
          <w:rFonts w:hint="default" w:ascii="Arial" w:hAnsi="Arial" w:eastAsia="等线" w:cs="Arial"/>
          <w:sz w:val="20"/>
          <w:szCs w:val="21"/>
          <w:lang w:eastAsia="zh-CN"/>
        </w:rPr>
        <w:t>: Set a field in SIB</w:t>
      </w:r>
      <w:r>
        <w:rPr>
          <w:rFonts w:hint="eastAsia" w:ascii="Arial" w:hAnsi="Arial" w:eastAsia="等线" w:cs="Arial"/>
          <w:sz w:val="20"/>
          <w:szCs w:val="21"/>
          <w:lang w:val="en-US" w:eastAsia="zh-CN"/>
        </w:rPr>
        <w:t>32</w:t>
      </w:r>
      <w:r>
        <w:rPr>
          <w:rFonts w:hint="default" w:ascii="Arial" w:hAnsi="Arial" w:eastAsia="等线" w:cs="Arial"/>
          <w:sz w:val="20"/>
          <w:szCs w:val="21"/>
          <w:lang w:eastAsia="zh-CN"/>
        </w:rPr>
        <w:t xml:space="preserve"> to indicate whether there is other SIB including satellite assistance information.</w:t>
      </w:r>
    </w:p>
    <w:p>
      <w:pPr>
        <w:pStyle w:val="16"/>
        <w:keepNext w:val="0"/>
        <w:keepLines w:val="0"/>
        <w:pageBreakBefore w:val="0"/>
        <w:widowControl w:val="0"/>
        <w:numPr>
          <w:ilvl w:val="0"/>
          <w:numId w:val="0"/>
        </w:numPr>
        <w:kinsoku/>
        <w:wordWrap/>
        <w:overflowPunct/>
        <w:topLinePunct w:val="0"/>
        <w:autoSpaceDE/>
        <w:autoSpaceDN/>
        <w:bidi w:val="0"/>
        <w:adjustRightInd/>
        <w:snapToGrid/>
        <w:spacing w:after="0" w:afterLines="50"/>
        <w:ind w:leftChars="200"/>
        <w:contextualSpacing w:val="0"/>
        <w:textAlignment w:val="auto"/>
        <w:rPr>
          <w:rFonts w:hint="default" w:ascii="Arial" w:hAnsi="Arial" w:eastAsia="宋体" w:cs="Arial"/>
          <w:kern w:val="0"/>
          <w:sz w:val="20"/>
          <w:szCs w:val="20"/>
          <w:lang w:val="en-US" w:eastAsia="zh-CN"/>
        </w:rPr>
      </w:pPr>
      <w:r>
        <w:rPr>
          <w:rFonts w:hint="eastAsia" w:ascii="Arial" w:hAnsi="Arial" w:eastAsia="等线" w:cs="Arial"/>
          <w:sz w:val="20"/>
          <w:szCs w:val="21"/>
          <w:lang w:val="en-US" w:eastAsia="zh-CN"/>
        </w:rPr>
        <w:t xml:space="preserve">- </w:t>
      </w:r>
      <w:r>
        <w:rPr>
          <w:rFonts w:hint="default" w:ascii="Arial" w:hAnsi="Arial" w:eastAsia="等线" w:cs="Arial"/>
          <w:sz w:val="20"/>
          <w:szCs w:val="21"/>
          <w:lang w:eastAsia="zh-CN"/>
        </w:rPr>
        <w:t>Alt</w:t>
      </w:r>
      <w:r>
        <w:rPr>
          <w:rFonts w:hint="eastAsia" w:ascii="Arial" w:hAnsi="Arial" w:eastAsia="等线" w:cs="Arial"/>
          <w:sz w:val="20"/>
          <w:szCs w:val="21"/>
          <w:lang w:val="en-US" w:eastAsia="zh-CN"/>
        </w:rPr>
        <w:t>.4</w:t>
      </w:r>
      <w:r>
        <w:rPr>
          <w:rFonts w:hint="default" w:ascii="Arial" w:hAnsi="Arial" w:eastAsia="等线" w:cs="Arial"/>
          <w:sz w:val="20"/>
          <w:szCs w:val="21"/>
          <w:lang w:eastAsia="zh-CN"/>
        </w:rPr>
        <w:t>: Set a field in SIB</w:t>
      </w:r>
      <w:r>
        <w:rPr>
          <w:rFonts w:hint="eastAsia" w:ascii="Arial" w:hAnsi="Arial" w:eastAsia="等线" w:cs="Arial"/>
          <w:sz w:val="20"/>
          <w:szCs w:val="21"/>
          <w:lang w:val="en-US" w:eastAsia="zh-CN"/>
        </w:rPr>
        <w:t>32</w:t>
      </w:r>
      <w:r>
        <w:rPr>
          <w:rFonts w:hint="default" w:ascii="Arial" w:hAnsi="Arial" w:eastAsia="等线" w:cs="Arial"/>
          <w:sz w:val="20"/>
          <w:szCs w:val="21"/>
          <w:lang w:eastAsia="zh-CN"/>
        </w:rPr>
        <w:t xml:space="preserve"> to indicate whether there is other SIB including supplemental satellite assistance information in the same SIB from another neighbour network.</w:t>
      </w:r>
    </w:p>
    <w:p>
      <w:pPr>
        <w:rPr>
          <w:rFonts w:hint="default" w:ascii="Arial" w:hAnsi="Arial" w:eastAsia="宋体" w:cs="Arial"/>
          <w:kern w:val="0"/>
          <w:sz w:val="20"/>
          <w:szCs w:val="20"/>
          <w:lang w:val="en-US" w:eastAsia="zh-CN"/>
        </w:rPr>
      </w:pPr>
      <w:r>
        <w:rPr>
          <w:rFonts w:hint="eastAsia" w:ascii="Arial" w:hAnsi="Arial" w:eastAsia="宋体" w:cs="Arial"/>
          <w:b/>
          <w:bCs/>
          <w:kern w:val="0"/>
          <w:sz w:val="20"/>
          <w:szCs w:val="20"/>
          <w:lang w:val="en-US" w:eastAsia="zh-CN"/>
        </w:rPr>
        <w:t>Proposal 1: RAN2 discuss to transfer more satellite assistance information via SIB segmentation or multiple SIBs.</w:t>
      </w:r>
    </w:p>
    <w:p>
      <w:pPr>
        <w:keepNext/>
        <w:keepLines/>
        <w:widowControl/>
        <w:spacing w:before="180" w:after="180"/>
        <w:ind w:left="1134" w:hanging="1134"/>
        <w:jc w:val="left"/>
        <w:outlineLvl w:val="1"/>
        <w:rPr>
          <w:rFonts w:ascii="Arial" w:hAnsi="Arial" w:eastAsia="宋体" w:cs="Arial"/>
          <w:kern w:val="0"/>
          <w:sz w:val="32"/>
          <w:szCs w:val="20"/>
          <w:lang w:val="en-GB" w:eastAsia="en-US"/>
        </w:rPr>
      </w:pPr>
      <w:r>
        <w:rPr>
          <w:rFonts w:ascii="Arial" w:hAnsi="Arial" w:eastAsia="宋体" w:cs="Arial"/>
          <w:kern w:val="0"/>
          <w:sz w:val="32"/>
          <w:szCs w:val="20"/>
          <w:lang w:val="en-GB" w:eastAsia="en-US"/>
        </w:rPr>
        <w:t>2.2</w:t>
      </w:r>
      <w:r>
        <w:rPr>
          <w:rFonts w:hint="eastAsia" w:ascii="Arial" w:hAnsi="Arial" w:eastAsia="宋体" w:cs="Arial"/>
          <w:kern w:val="0"/>
          <w:sz w:val="32"/>
          <w:szCs w:val="20"/>
          <w:lang w:val="en-US" w:eastAsia="zh-CN"/>
        </w:rPr>
        <w:t xml:space="preserve"> PTW configuration</w:t>
      </w:r>
      <w:r>
        <w:rPr>
          <w:rFonts w:ascii="Arial" w:hAnsi="Arial" w:eastAsia="宋体" w:cs="Arial"/>
          <w:kern w:val="0"/>
          <w:sz w:val="32"/>
          <w:szCs w:val="20"/>
          <w:lang w:val="en-GB" w:eastAsia="en-US"/>
        </w:rPr>
        <w:tab/>
      </w:r>
    </w:p>
    <w:p>
      <w:pPr>
        <w:spacing w:after="160" w:line="259" w:lineRule="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During the offline discussion for discontinuous coverage [3], RAN2 discussed whether/how to enhance the paging, e.g. update PTW configuration, UE autonomous adjustment, no RAN impacts. We understand the issue that the PTW may be not aligned with discontinuous coverage, i.e. there is one or more PTW window during the discontinuous coverage. Some companies would like to avoid these PTW configuration in discontinuous coverage. We think this has no impacts on RAN since PTW configuration is provided by CN, and it is up to CN to configure it align with coverage gap. From RAN perspective, the starting and ending position of the PTW window is calculated by UE and eNB as specified in TS 36.304. If the starting and end position of the PTW window is within the coverage gap, we think the UE can skip to monitor this PTW. This is also aligned with R17 principle that the UE is not required to perform idle mode functions during the discontinuous coverage. If the staring position is within the coverage gap and the end position is in coverage, when to monitor the PTW can be up to UE implementation. Of course, if eNB is aware of the UE</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s coverage gap, eNB can avoid paging the UE during the PTW window in coverage gap.</w:t>
      </w:r>
    </w:p>
    <w:p>
      <w:pPr>
        <w:spacing w:after="160" w:line="259" w:lineRule="auto"/>
        <w:rPr>
          <w:rFonts w:hint="default" w:ascii="Arial" w:hAnsi="Arial" w:eastAsia="宋体" w:cs="Arial"/>
          <w:kern w:val="0"/>
          <w:sz w:val="20"/>
          <w:szCs w:val="20"/>
          <w:lang w:val="en-US" w:eastAsia="en-US"/>
        </w:rPr>
      </w:pPr>
      <w:r>
        <w:rPr>
          <w:rFonts w:hint="eastAsia" w:ascii="Arial" w:hAnsi="Arial" w:eastAsia="宋体" w:cs="Arial"/>
          <w:b/>
          <w:bCs/>
          <w:kern w:val="0"/>
          <w:sz w:val="20"/>
          <w:szCs w:val="20"/>
          <w:lang w:val="en-US" w:eastAsia="zh-CN"/>
        </w:rPr>
        <w:t xml:space="preserve">Proposal 2: There is no RAN impacts to adjust the PTW configuration. </w:t>
      </w:r>
      <w:r>
        <w:rPr>
          <w:rFonts w:hint="eastAsia" w:ascii="Arial" w:hAnsi="Arial" w:eastAsia="宋体" w:cs="Arial"/>
          <w:b/>
          <w:bCs/>
          <w:kern w:val="0"/>
          <w:sz w:val="20"/>
          <w:szCs w:val="20"/>
          <w:highlight w:val="none"/>
          <w:lang w:val="en-US" w:eastAsia="zh-CN"/>
        </w:rPr>
        <w:t>It is up to UE and eNB implementation to skip the PTW within the discontinuous coverage</w:t>
      </w:r>
      <w:r>
        <w:rPr>
          <w:rFonts w:hint="eastAsia" w:ascii="Arial" w:hAnsi="Arial" w:eastAsia="宋体" w:cs="Arial"/>
          <w:b/>
          <w:bCs/>
          <w:kern w:val="0"/>
          <w:sz w:val="20"/>
          <w:szCs w:val="20"/>
          <w:lang w:val="en-US" w:eastAsia="zh-CN"/>
        </w:rPr>
        <w:t xml:space="preserve">. </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2.3 RRC release </w:t>
      </w:r>
    </w:p>
    <w:p>
      <w:pPr>
        <w:spacing w:after="160" w:line="259" w:lineRule="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In RAN3#118 meeting, a new cause value </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Release due to discontinuous coverage</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 is introduced for the UE Context Release Request procedure between eNB and MME, so eNB can be aware of the actual reason for this release is due to discontinuous coverage. </w:t>
      </w:r>
    </w:p>
    <w:p>
      <w:pPr>
        <w:spacing w:after="160" w:line="259" w:lineRule="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RAN2 meeting, RAN2 agreed to introduce enhancement to RRC Release using one of the following options (FFS which one):</w:t>
      </w:r>
    </w:p>
    <w:p>
      <w:pPr>
        <w:spacing w:after="160" w:line="259" w:lineRule="auto"/>
        <w:ind w:leftChars="10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w:t>
      </w:r>
      <w:r>
        <w:rPr>
          <w:rFonts w:hint="eastAsia" w:ascii="Arial" w:hAnsi="Arial" w:eastAsia="宋体" w:cs="Arial"/>
          <w:kern w:val="0"/>
          <w:sz w:val="20"/>
          <w:szCs w:val="20"/>
          <w:lang w:val="en-US" w:eastAsia="zh-CN"/>
        </w:rPr>
        <w:tab/>
      </w:r>
      <w:r>
        <w:rPr>
          <w:rFonts w:hint="eastAsia" w:ascii="Arial" w:hAnsi="Arial" w:eastAsia="宋体" w:cs="Arial"/>
          <w:kern w:val="0"/>
          <w:sz w:val="20"/>
          <w:szCs w:val="20"/>
          <w:lang w:val="en-US" w:eastAsia="zh-CN"/>
        </w:rPr>
        <w:t>Explicit RRC Release using a new RRC Release cause</w:t>
      </w:r>
    </w:p>
    <w:p>
      <w:pPr>
        <w:spacing w:after="160" w:line="259" w:lineRule="auto"/>
        <w:ind w:leftChars="10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w:t>
      </w:r>
      <w:r>
        <w:rPr>
          <w:rFonts w:hint="eastAsia" w:ascii="Arial" w:hAnsi="Arial" w:eastAsia="宋体" w:cs="Arial"/>
          <w:kern w:val="0"/>
          <w:sz w:val="20"/>
          <w:szCs w:val="20"/>
          <w:lang w:val="en-US" w:eastAsia="zh-CN"/>
        </w:rPr>
        <w:tab/>
      </w:r>
      <w:r>
        <w:rPr>
          <w:rFonts w:hint="eastAsia" w:ascii="Arial" w:hAnsi="Arial" w:eastAsia="宋体" w:cs="Arial"/>
          <w:kern w:val="0"/>
          <w:sz w:val="20"/>
          <w:szCs w:val="20"/>
          <w:lang w:val="en-US" w:eastAsia="zh-CN"/>
        </w:rPr>
        <w:t>UE Autonomous release (e.g. timer based or upon detection of coverage gap)</w:t>
      </w:r>
    </w:p>
    <w:p>
      <w:pPr>
        <w:spacing w:after="160" w:line="259" w:lineRule="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fact, both options are feasible. In our understanding, if the UE predicts that it will be out of coverage, it can autonomously release or use the existing procedure to request release from the network. However, if the network detects that the UE will be out of coverage, the network can also trigger release procedure to move UE into idle mode before entering the coverage gap. In this case, a new cause value is useful to let the UE know this release is due to discontinuous coverage.</w:t>
      </w:r>
    </w:p>
    <w:p>
      <w:pPr>
        <w:spacing w:after="160" w:line="259" w:lineRule="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3: A new cause value </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Release due to discontinuous coverage</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 xml:space="preserve"> is introduced in RRCRelease message.</w:t>
      </w:r>
    </w:p>
    <w:p>
      <w:pPr>
        <w:spacing w:after="160" w:line="259" w:lineRule="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According to conclusion of TR 23.700-28, SA2 supports PSM/MICO/eDRX in R18 IoT-NTN. Both network centric and UE centric procedures are used to determine and coordinate the UE unreachability period and power saving parameters via NAS signaling, while RAN node cannot be aware of the UE unreachability period. When the satellite stops serving the current area, the UE would suddenly lose the coverage and connection. If the network is not aware of UE</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s discontinuous coverage and still schedule the UE, it may lead to the waste of energy and resources. We think it</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s beneficial to inform the out-of-coverage period to RAN node, for alignment with discontinuous coverage between UE and RAN. Although the UE unreachability information can be provided from CN to RAN node, we think the UE can also provide this information to RAN from RAN2 perspective. </w:t>
      </w:r>
    </w:p>
    <w:p>
      <w:pPr>
        <w:spacing w:after="160" w:line="259" w:lineRule="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The UE can provide the out-of-coverage information to RAN node, e.g, for optimization on RRC release or paging.</w:t>
      </w:r>
    </w:p>
    <w:p>
      <w:pPr>
        <w:spacing w:after="160" w:line="259" w:lineRule="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legacy procedure, the UE context should be removed by RAN node after the UE is released to idle mode. However, in discontinuous coverage scenario, we think it</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s beneficial for RAN node to keep the UE out-of-coverage information even if the UE enters into idle mode, e.g. for future paging procedure. For example, if the RAN node receives the paging from CN or other RAN node for the UE which is out of coverage, the RAN node can reject the paging or indicate the UE is out of coverage. By this way, the signaling overhead for paging can be decreased.</w:t>
      </w:r>
    </w:p>
    <w:p>
      <w:pPr>
        <w:spacing w:after="160" w:line="259" w:lineRule="auto"/>
        <w:jc w:val="center"/>
      </w:pPr>
      <w:r>
        <w:drawing>
          <wp:inline distT="0" distB="0" distL="114300" distR="114300">
            <wp:extent cx="3375025" cy="2166620"/>
            <wp:effectExtent l="0" t="0" r="635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3375025" cy="2166620"/>
                    </a:xfrm>
                    <a:prstGeom prst="rect">
                      <a:avLst/>
                    </a:prstGeom>
                    <a:noFill/>
                    <a:ln>
                      <a:noFill/>
                    </a:ln>
                  </pic:spPr>
                </pic:pic>
              </a:graphicData>
            </a:graphic>
          </wp:inline>
        </w:drawing>
      </w:r>
    </w:p>
    <w:p>
      <w:pPr>
        <w:spacing w:after="160" w:line="259" w:lineRule="auto"/>
        <w:jc w:val="center"/>
        <w:rPr>
          <w:rFonts w:hint="default" w:ascii="Arial" w:hAnsi="Arial" w:cs="Arial" w:eastAsiaTheme="minorEastAsia"/>
          <w:sz w:val="18"/>
          <w:szCs w:val="20"/>
          <w:lang w:val="en-US" w:eastAsia="zh-CN"/>
        </w:rPr>
      </w:pPr>
      <w:r>
        <w:rPr>
          <w:rFonts w:hint="default" w:ascii="Arial" w:hAnsi="Arial" w:cs="Arial"/>
          <w:sz w:val="18"/>
          <w:szCs w:val="20"/>
          <w:lang w:val="en-US" w:eastAsia="zh-CN"/>
        </w:rPr>
        <w:t>Figure 1</w:t>
      </w:r>
    </w:p>
    <w:p>
      <w:pPr>
        <w:spacing w:after="160" w:line="259" w:lineRule="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The UE out-of-coverage information can be kept by RAN node even if the UE enters into idle mode.</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2.4 Others </w:t>
      </w:r>
    </w:p>
    <w:p>
      <w:pPr>
        <w:spacing w:after="160" w:line="259" w:lineRule="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previous meeting, it is proposed to discuss whether the UE can decide to not initiate the connection (re)establishment if the remaining time in the current cell is not sufficient for a new connection establishment, and whether other assistance information is needed. We think the UE can derive the remaining time of serving cell based on the existing assistance info (e.g. t-service for fixed cell, ephemeris and epoch time for moving cell), and it is up to UE implementation whether to initiate the connection (re)establishment if the remaining time in the current cell is not sufficient for a new connection establishment.</w:t>
      </w:r>
    </w:p>
    <w:p>
      <w:pPr>
        <w:spacing w:after="160" w:line="259" w:lineRule="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It is up to UE implementation whether to initiate the connection (re)establishment if the remaining time in the current cell is not sufficient for a new connection establishment, additional assistance information is not needed.</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lang w:val="en-GB" w:eastAsia="en-US"/>
        </w:rPr>
        <w:t>discontinuous coverage for IoT-NTN</w:t>
      </w:r>
      <w:r>
        <w:rPr>
          <w:rFonts w:ascii="Arial" w:hAnsi="Arial" w:eastAsia="宋体" w:cs="Arial"/>
          <w:kern w:val="0"/>
          <w:sz w:val="20"/>
          <w:szCs w:val="20"/>
          <w:lang w:val="en-GB" w:eastAsia="en-US"/>
        </w:rPr>
        <w:t>.</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RRC signaling can convey more satellite assistance information or UE-specific neighbour satellite information compared with SIB.</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2: The satellite assistance information may be common for many UEs, SIB message seems more efficient from the perspective of signaling efficiency.</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RAN2 discuss to transfer more satellite assistance information via SIB segmentation or multiple SIBs.</w:t>
      </w:r>
    </w:p>
    <w:p>
      <w:pPr>
        <w:spacing w:after="160" w:line="259" w:lineRule="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2: There is no RAN impacts to adjust the PTW configuration. </w:t>
      </w:r>
      <w:r>
        <w:rPr>
          <w:rFonts w:hint="eastAsia" w:ascii="Arial" w:hAnsi="Arial" w:eastAsia="宋体" w:cs="Arial"/>
          <w:b/>
          <w:bCs/>
          <w:kern w:val="0"/>
          <w:sz w:val="20"/>
          <w:szCs w:val="20"/>
          <w:highlight w:val="none"/>
          <w:lang w:val="en-US" w:eastAsia="zh-CN"/>
        </w:rPr>
        <w:t>It is up to UE and eNB implementation to skip the PTW within the discontinuous coverage</w:t>
      </w:r>
      <w:r>
        <w:rPr>
          <w:rFonts w:hint="eastAsia" w:ascii="Arial" w:hAnsi="Arial" w:eastAsia="宋体" w:cs="Arial"/>
          <w:b/>
          <w:bCs/>
          <w:kern w:val="0"/>
          <w:sz w:val="20"/>
          <w:szCs w:val="20"/>
          <w:lang w:val="en-US" w:eastAsia="zh-CN"/>
        </w:rPr>
        <w:t xml:space="preserve">. </w:t>
      </w:r>
    </w:p>
    <w:p>
      <w:pPr>
        <w:spacing w:after="160" w:line="259" w:lineRule="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3: A new cause value </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Release due to discontinuous coverage</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 xml:space="preserve"> is introduced in RRCRelease message.</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The UE can provide the out-of-coverage information to RAN node for e.g, optimization on RRC release or paging.</w:t>
      </w:r>
    </w:p>
    <w:p>
      <w:pPr>
        <w:spacing w:after="160" w:line="259" w:lineRule="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w:t>
      </w:r>
      <w:bookmarkStart w:id="2" w:name="_GoBack"/>
      <w:bookmarkEnd w:id="2"/>
      <w:r>
        <w:rPr>
          <w:rFonts w:hint="eastAsia" w:ascii="Arial" w:hAnsi="Arial" w:eastAsia="宋体" w:cs="Arial"/>
          <w:b/>
          <w:bCs/>
          <w:kern w:val="0"/>
          <w:sz w:val="20"/>
          <w:szCs w:val="20"/>
          <w:lang w:val="en-US" w:eastAsia="zh-CN"/>
        </w:rPr>
        <w:t>: The UE out-of-coverage information can be kept by RAN node when the UE enters into idle mode.</w:t>
      </w:r>
    </w:p>
    <w:p>
      <w:pPr>
        <w:spacing w:after="160" w:line="259" w:lineRule="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It is up to UE implementation whether to initiate the connection (re)establishment if the remaining time in the current cell is not sufficient for a new connection establishment, additional assistance information is not needed.</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4"/>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Draft_R2_121bis_meeting_report_v1</w:t>
      </w:r>
    </w:p>
    <w:p>
      <w:pPr>
        <w:widowControl/>
        <w:numPr>
          <w:ilvl w:val="0"/>
          <w:numId w:val="4"/>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zh-CN"/>
        </w:rPr>
      </w:pPr>
      <w:r>
        <w:rPr>
          <w:rFonts w:hint="eastAsia" w:ascii="Arial" w:hAnsi="Arial" w:eastAsia="宋体" w:cs="Arial"/>
          <w:kern w:val="0"/>
          <w:sz w:val="20"/>
          <w:szCs w:val="20"/>
          <w:lang w:val="en-US" w:eastAsia="zh-CN"/>
        </w:rPr>
        <w:t>TS 36.331, Evolved Universal Terrestrial Radio Access (E-UTRA); Radio Resource Control (RRC); Protocol specification</w:t>
      </w:r>
    </w:p>
    <w:p>
      <w:pPr>
        <w:widowControl/>
        <w:numPr>
          <w:ilvl w:val="0"/>
          <w:numId w:val="4"/>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zh-CN"/>
        </w:rPr>
      </w:pPr>
      <w:r>
        <w:rPr>
          <w:rFonts w:hint="eastAsia" w:ascii="Arial" w:hAnsi="Arial" w:eastAsia="宋体" w:cs="Arial"/>
          <w:kern w:val="0"/>
          <w:sz w:val="20"/>
          <w:szCs w:val="20"/>
          <w:lang w:val="en-GB" w:eastAsia="zh-CN"/>
        </w:rPr>
        <w:t xml:space="preserve">3GPP </w:t>
      </w:r>
      <w:r>
        <w:rPr>
          <w:rFonts w:hint="eastAsia" w:ascii="Arial" w:hAnsi="Arial" w:eastAsia="宋体" w:cs="Arial"/>
          <w:kern w:val="0"/>
          <w:sz w:val="20"/>
          <w:szCs w:val="20"/>
          <w:lang w:val="en-US" w:eastAsia="zh-CN"/>
        </w:rPr>
        <w:t>TR 23.700-28</w:t>
      </w:r>
      <w:r>
        <w:rPr>
          <w:rFonts w:hint="eastAsia" w:ascii="Arial" w:hAnsi="Arial" w:eastAsia="宋体" w:cs="Arial"/>
          <w:kern w:val="0"/>
          <w:sz w:val="20"/>
          <w:szCs w:val="20"/>
          <w:lang w:val="en-GB" w:eastAsia="zh-CN"/>
        </w:rPr>
        <w:t>, Study on Integration of satellite components</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lang w:val="en-GB" w:eastAsia="zh-CN"/>
        </w:rPr>
        <w:t>in the 5G architecture;</w:t>
      </w:r>
      <w:r>
        <w:rPr>
          <w:rFonts w:hint="eastAsia" w:ascii="Arial" w:hAnsi="Arial" w:eastAsia="宋体" w:cs="Arial"/>
          <w:kern w:val="0"/>
          <w:sz w:val="20"/>
          <w:szCs w:val="20"/>
          <w:lang w:val="en-US" w:eastAsia="zh-CN"/>
        </w:rPr>
        <w:t xml:space="preserve"> Phase 2</w:t>
      </w:r>
      <w:r>
        <w:rPr>
          <w:rFonts w:hint="eastAsia" w:ascii="Arial" w:hAnsi="Arial" w:eastAsia="宋体" w:cs="Arial"/>
          <w:kern w:val="0"/>
          <w:sz w:val="20"/>
          <w:szCs w:val="20"/>
          <w:lang w:val="en-GB" w:eastAsia="zh-CN"/>
        </w:rPr>
        <w:t xml:space="preserve"> (Release 18)</w:t>
      </w:r>
    </w:p>
    <w:p>
      <w:pPr>
        <w:widowControl/>
        <w:numPr>
          <w:ilvl w:val="0"/>
          <w:numId w:val="4"/>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zh-CN"/>
        </w:rPr>
      </w:pPr>
      <w:r>
        <w:rPr>
          <w:rFonts w:hint="eastAsia" w:ascii="Arial" w:hAnsi="Arial" w:eastAsia="宋体" w:cs="Arial"/>
          <w:kern w:val="0"/>
          <w:sz w:val="20"/>
          <w:szCs w:val="20"/>
          <w:lang w:val="en-US" w:eastAsia="zh-CN"/>
        </w:rPr>
        <w:t xml:space="preserve">R2-2304258 </w:t>
      </w:r>
      <w:r>
        <w:rPr>
          <w:rFonts w:hint="eastAsia" w:ascii="Arial" w:hAnsi="Arial" w:eastAsia="宋体" w:cs="Arial"/>
          <w:kern w:val="0"/>
          <w:sz w:val="20"/>
          <w:szCs w:val="20"/>
          <w:lang w:val="en-GB" w:eastAsia="zh-CN"/>
        </w:rPr>
        <w:t>Report of [AT121bis-e][115][IoT NTN Enh] Discontinuous coverage enhancements (Interdigital)</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AA566"/>
    <w:multiLevelType w:val="singleLevel"/>
    <w:tmpl w:val="2DCAA566"/>
    <w:lvl w:ilvl="0" w:tentative="0">
      <w:start w:val="2"/>
      <w:numFmt w:val="decimal"/>
      <w:lvlText w:val="%1"/>
      <w:lvlJc w:val="left"/>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3AA46647"/>
    <w:multiLevelType w:val="multilevel"/>
    <w:tmpl w:val="3AA46647"/>
    <w:lvl w:ilvl="0" w:tentative="0">
      <w:start w:val="1"/>
      <w:numFmt w:val="decimal"/>
      <w:pStyle w:val="19"/>
      <w:lvlText w:val="Proposal %1"/>
      <w:lvlJc w:val="left"/>
      <w:pPr>
        <w:tabs>
          <w:tab w:val="left" w:pos="2155"/>
        </w:tabs>
        <w:ind w:left="2155" w:hanging="1304"/>
      </w:pPr>
      <w:rPr>
        <w:rFonts w:hint="default"/>
      </w:rPr>
    </w:lvl>
    <w:lvl w:ilvl="1" w:tentative="0">
      <w:start w:val="1"/>
      <w:numFmt w:val="lowerLetter"/>
      <w:lvlText w:val="%2."/>
      <w:lvlJc w:val="left"/>
      <w:pPr>
        <w:tabs>
          <w:tab w:val="left" w:pos="2291"/>
        </w:tabs>
        <w:ind w:left="2291" w:hanging="360"/>
      </w:pPr>
      <w:rPr>
        <w:rFonts w:hint="eastAsia"/>
      </w:rPr>
    </w:lvl>
    <w:lvl w:ilvl="2" w:tentative="0">
      <w:start w:val="1"/>
      <w:numFmt w:val="lowerRoman"/>
      <w:lvlText w:val="%3."/>
      <w:lvlJc w:val="right"/>
      <w:pPr>
        <w:tabs>
          <w:tab w:val="left" w:pos="3011"/>
        </w:tabs>
        <w:ind w:left="3011" w:hanging="180"/>
      </w:pPr>
      <w:rPr>
        <w:rFonts w:hint="eastAsia"/>
      </w:rPr>
    </w:lvl>
    <w:lvl w:ilvl="3" w:tentative="0">
      <w:start w:val="1"/>
      <w:numFmt w:val="decimal"/>
      <w:lvlText w:val="%4."/>
      <w:lvlJc w:val="left"/>
      <w:pPr>
        <w:tabs>
          <w:tab w:val="left" w:pos="3731"/>
        </w:tabs>
        <w:ind w:left="3731" w:hanging="360"/>
      </w:pPr>
      <w:rPr>
        <w:rFonts w:hint="eastAsia"/>
      </w:rPr>
    </w:lvl>
    <w:lvl w:ilvl="4" w:tentative="0">
      <w:start w:val="1"/>
      <w:numFmt w:val="lowerLetter"/>
      <w:lvlText w:val="%5."/>
      <w:lvlJc w:val="left"/>
      <w:pPr>
        <w:tabs>
          <w:tab w:val="left" w:pos="4451"/>
        </w:tabs>
        <w:ind w:left="4451" w:hanging="360"/>
      </w:pPr>
      <w:rPr>
        <w:rFonts w:hint="eastAsia"/>
      </w:rPr>
    </w:lvl>
    <w:lvl w:ilvl="5" w:tentative="0">
      <w:start w:val="1"/>
      <w:numFmt w:val="lowerRoman"/>
      <w:lvlText w:val="%6."/>
      <w:lvlJc w:val="right"/>
      <w:pPr>
        <w:tabs>
          <w:tab w:val="left" w:pos="5171"/>
        </w:tabs>
        <w:ind w:left="5171" w:hanging="180"/>
      </w:pPr>
      <w:rPr>
        <w:rFonts w:hint="eastAsia"/>
      </w:rPr>
    </w:lvl>
    <w:lvl w:ilvl="6" w:tentative="0">
      <w:start w:val="1"/>
      <w:numFmt w:val="decimal"/>
      <w:lvlText w:val="%7."/>
      <w:lvlJc w:val="left"/>
      <w:pPr>
        <w:tabs>
          <w:tab w:val="left" w:pos="5891"/>
        </w:tabs>
        <w:ind w:left="5891" w:hanging="360"/>
      </w:pPr>
      <w:rPr>
        <w:rFonts w:hint="eastAsia"/>
      </w:rPr>
    </w:lvl>
    <w:lvl w:ilvl="7" w:tentative="0">
      <w:start w:val="1"/>
      <w:numFmt w:val="lowerLetter"/>
      <w:lvlText w:val="%8."/>
      <w:lvlJc w:val="left"/>
      <w:pPr>
        <w:tabs>
          <w:tab w:val="left" w:pos="6611"/>
        </w:tabs>
        <w:ind w:left="6611" w:hanging="360"/>
      </w:pPr>
      <w:rPr>
        <w:rFonts w:hint="eastAsia"/>
      </w:rPr>
    </w:lvl>
    <w:lvl w:ilvl="8" w:tentative="0">
      <w:start w:val="1"/>
      <w:numFmt w:val="lowerRoman"/>
      <w:lvlText w:val="%9."/>
      <w:lvlJc w:val="right"/>
      <w:pPr>
        <w:tabs>
          <w:tab w:val="left" w:pos="7331"/>
        </w:tabs>
        <w:ind w:left="7331" w:hanging="180"/>
      </w:pPr>
      <w:rPr>
        <w:rFonts w:hint="eastAsia"/>
      </w:rPr>
    </w:lvl>
  </w:abstractNum>
  <w:abstractNum w:abstractNumId="3">
    <w:nsid w:val="45C96C19"/>
    <w:multiLevelType w:val="multilevel"/>
    <w:tmpl w:val="45C96C19"/>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93317"/>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3BCD"/>
    <w:rsid w:val="00ED765C"/>
    <w:rsid w:val="00EF5EE1"/>
    <w:rsid w:val="00F02DFE"/>
    <w:rsid w:val="00F05AB0"/>
    <w:rsid w:val="00F0760F"/>
    <w:rsid w:val="00F33D13"/>
    <w:rsid w:val="00F47D8B"/>
    <w:rsid w:val="00F627D0"/>
    <w:rsid w:val="00F841B6"/>
    <w:rsid w:val="00F92EA1"/>
    <w:rsid w:val="01041DE1"/>
    <w:rsid w:val="015B2BC4"/>
    <w:rsid w:val="022E1921"/>
    <w:rsid w:val="04CD755E"/>
    <w:rsid w:val="05146BBE"/>
    <w:rsid w:val="06755314"/>
    <w:rsid w:val="085B015E"/>
    <w:rsid w:val="08A42A6C"/>
    <w:rsid w:val="08A952BF"/>
    <w:rsid w:val="08F61291"/>
    <w:rsid w:val="08F773A1"/>
    <w:rsid w:val="0A9E7CF1"/>
    <w:rsid w:val="0BF05825"/>
    <w:rsid w:val="0DFE100D"/>
    <w:rsid w:val="0F2807A9"/>
    <w:rsid w:val="0FBA4F87"/>
    <w:rsid w:val="10913A76"/>
    <w:rsid w:val="1121214E"/>
    <w:rsid w:val="11E05876"/>
    <w:rsid w:val="12D940DF"/>
    <w:rsid w:val="14127B6E"/>
    <w:rsid w:val="17B3444C"/>
    <w:rsid w:val="17C85C11"/>
    <w:rsid w:val="17CD5A7B"/>
    <w:rsid w:val="184F4570"/>
    <w:rsid w:val="19837112"/>
    <w:rsid w:val="1C24781E"/>
    <w:rsid w:val="1C293FB3"/>
    <w:rsid w:val="1CF70101"/>
    <w:rsid w:val="1D036B90"/>
    <w:rsid w:val="1E0D155D"/>
    <w:rsid w:val="1E641089"/>
    <w:rsid w:val="1ECA78AF"/>
    <w:rsid w:val="1EDD63B3"/>
    <w:rsid w:val="1F953A14"/>
    <w:rsid w:val="207C48B2"/>
    <w:rsid w:val="20841BE6"/>
    <w:rsid w:val="20F63843"/>
    <w:rsid w:val="22391A6D"/>
    <w:rsid w:val="22952BA9"/>
    <w:rsid w:val="22AA5187"/>
    <w:rsid w:val="259D5AA6"/>
    <w:rsid w:val="274D43AA"/>
    <w:rsid w:val="27EC2EBC"/>
    <w:rsid w:val="290D5B03"/>
    <w:rsid w:val="297A643A"/>
    <w:rsid w:val="2BEB0073"/>
    <w:rsid w:val="2C8F4403"/>
    <w:rsid w:val="2D7945E7"/>
    <w:rsid w:val="2EF25737"/>
    <w:rsid w:val="2F455A6A"/>
    <w:rsid w:val="2FB33B32"/>
    <w:rsid w:val="319B7829"/>
    <w:rsid w:val="32503EB2"/>
    <w:rsid w:val="32DA366A"/>
    <w:rsid w:val="33295A41"/>
    <w:rsid w:val="36FC5244"/>
    <w:rsid w:val="3929057B"/>
    <w:rsid w:val="39872104"/>
    <w:rsid w:val="3AC9371B"/>
    <w:rsid w:val="3CA76849"/>
    <w:rsid w:val="3CDD7E68"/>
    <w:rsid w:val="3D8310CF"/>
    <w:rsid w:val="3DED444D"/>
    <w:rsid w:val="3E1D724F"/>
    <w:rsid w:val="3F452672"/>
    <w:rsid w:val="3FAF36DB"/>
    <w:rsid w:val="3FFC6526"/>
    <w:rsid w:val="40380A31"/>
    <w:rsid w:val="42112CF3"/>
    <w:rsid w:val="433A05AF"/>
    <w:rsid w:val="43826BE8"/>
    <w:rsid w:val="43EC07F9"/>
    <w:rsid w:val="4537365B"/>
    <w:rsid w:val="468939F8"/>
    <w:rsid w:val="47504E90"/>
    <w:rsid w:val="48A343FD"/>
    <w:rsid w:val="4A8B763F"/>
    <w:rsid w:val="4C3B4C27"/>
    <w:rsid w:val="4C4666A7"/>
    <w:rsid w:val="4CB43777"/>
    <w:rsid w:val="4D1B1BA0"/>
    <w:rsid w:val="4DD522A0"/>
    <w:rsid w:val="4FC84061"/>
    <w:rsid w:val="500B675C"/>
    <w:rsid w:val="509C604E"/>
    <w:rsid w:val="53D170F4"/>
    <w:rsid w:val="54230502"/>
    <w:rsid w:val="55AE202A"/>
    <w:rsid w:val="566E6F5B"/>
    <w:rsid w:val="573F04D3"/>
    <w:rsid w:val="57A64546"/>
    <w:rsid w:val="58CB79F6"/>
    <w:rsid w:val="59DF5D3D"/>
    <w:rsid w:val="5A8E3042"/>
    <w:rsid w:val="5D584F52"/>
    <w:rsid w:val="5EB800DC"/>
    <w:rsid w:val="5F1406BC"/>
    <w:rsid w:val="5F273BAD"/>
    <w:rsid w:val="5F600D4E"/>
    <w:rsid w:val="60716B6E"/>
    <w:rsid w:val="63514E14"/>
    <w:rsid w:val="64036942"/>
    <w:rsid w:val="64612304"/>
    <w:rsid w:val="655F57E6"/>
    <w:rsid w:val="657C7836"/>
    <w:rsid w:val="68C1269E"/>
    <w:rsid w:val="6ACF7CA5"/>
    <w:rsid w:val="6ADC76C0"/>
    <w:rsid w:val="6B7347BC"/>
    <w:rsid w:val="6BC47E5A"/>
    <w:rsid w:val="6BE35659"/>
    <w:rsid w:val="6CEC479F"/>
    <w:rsid w:val="6DFF6FF4"/>
    <w:rsid w:val="6EF745A7"/>
    <w:rsid w:val="6FD601DD"/>
    <w:rsid w:val="70A01FD4"/>
    <w:rsid w:val="71AE0AD6"/>
    <w:rsid w:val="72BF0DCD"/>
    <w:rsid w:val="732872C5"/>
    <w:rsid w:val="73C4646F"/>
    <w:rsid w:val="75855356"/>
    <w:rsid w:val="758933B2"/>
    <w:rsid w:val="760F3C08"/>
    <w:rsid w:val="76E319B4"/>
    <w:rsid w:val="77F34BEF"/>
    <w:rsid w:val="7DB345EB"/>
    <w:rsid w:val="7DEB4887"/>
    <w:rsid w:val="7FEB6FF3"/>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0"/>
    <w:pPr>
      <w:spacing w:after="120"/>
      <w:jc w:val="both"/>
    </w:pPr>
    <w:rPr>
      <w:rFonts w:ascii="Arial" w:hAnsi="Arial"/>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568" w:hanging="284"/>
    </w:pPr>
  </w:style>
  <w:style w:type="table" w:styleId="10">
    <w:name w:val="Table Grid"/>
    <w:basedOn w:val="9"/>
    <w:qFormat/>
    <w:uiPriority w:val="0"/>
    <w:pPr>
      <w:widowControl/>
      <w:jc w:val="left"/>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7"/>
    <w:qFormat/>
    <w:uiPriority w:val="99"/>
    <w:rPr>
      <w:sz w:val="18"/>
      <w:szCs w:val="18"/>
    </w:rPr>
  </w:style>
  <w:style w:type="character" w:customStyle="1" w:styleId="13">
    <w:name w:val="页脚 字符"/>
    <w:basedOn w:val="11"/>
    <w:link w:val="6"/>
    <w:qFormat/>
    <w:uiPriority w:val="99"/>
    <w:rPr>
      <w:sz w:val="18"/>
      <w:szCs w:val="18"/>
    </w:rPr>
  </w:style>
  <w:style w:type="paragraph" w:customStyle="1" w:styleId="14">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5">
    <w:name w:val="TF"/>
    <w:basedOn w:val="14"/>
    <w:qFormat/>
    <w:uiPriority w:val="0"/>
    <w:pPr>
      <w:keepNext w:val="0"/>
      <w:spacing w:before="0" w:after="240"/>
    </w:pPr>
  </w:style>
  <w:style w:type="paragraph" w:styleId="16">
    <w:name w:val="List Paragraph"/>
    <w:basedOn w:val="1"/>
    <w:qFormat/>
    <w:uiPriority w:val="34"/>
    <w:pPr>
      <w:ind w:firstLine="420" w:firstLineChars="200"/>
    </w:pPr>
  </w:style>
  <w:style w:type="paragraph" w:customStyle="1" w:styleId="17">
    <w:name w:val="B1"/>
    <w:basedOn w:val="8"/>
    <w:qFormat/>
    <w:uiPriority w:val="0"/>
  </w:style>
  <w:style w:type="paragraph" w:customStyle="1" w:styleId="18">
    <w:name w:val="Doc-text2"/>
    <w:basedOn w:val="1"/>
    <w:qFormat/>
    <w:uiPriority w:val="0"/>
    <w:pPr>
      <w:tabs>
        <w:tab w:val="left" w:pos="1622"/>
      </w:tabs>
      <w:autoSpaceDE/>
      <w:autoSpaceDN/>
      <w:adjustRightInd/>
      <w:ind w:left="1622" w:hanging="363"/>
      <w:jc w:val="left"/>
      <w:textAlignment w:val="auto"/>
    </w:pPr>
    <w:rPr>
      <w:rFonts w:ascii="Arial" w:hAnsi="Arial" w:eastAsia="MS Mincho"/>
      <w:sz w:val="20"/>
      <w:lang w:val="en-GB" w:eastAsia="en-GB"/>
    </w:rPr>
  </w:style>
  <w:style w:type="paragraph" w:customStyle="1" w:styleId="19">
    <w:name w:val="Proposal"/>
    <w:basedOn w:val="5"/>
    <w:qFormat/>
    <w:uiPriority w:val="0"/>
    <w:pPr>
      <w:numPr>
        <w:ilvl w:val="0"/>
        <w:numId w:val="1"/>
      </w:numPr>
      <w:tabs>
        <w:tab w:val="left" w:pos="1304"/>
        <w:tab w:val="left" w:pos="1701"/>
      </w:tabs>
      <w:spacing w:line="260" w:lineRule="auto"/>
    </w:pPr>
    <w:rPr>
      <w:rFonts w:ascii="Times New Roman" w:hAnsi="Times New Roman"/>
      <w:b/>
      <w:bCs/>
    </w:rPr>
  </w:style>
  <w:style w:type="paragraph" w:customStyle="1" w:styleId="20">
    <w:name w:val="NO"/>
    <w:basedOn w:val="1"/>
    <w:qFormat/>
    <w:uiPriority w:val="0"/>
    <w:pPr>
      <w:keepLines/>
      <w:ind w:left="1135" w:hanging="851"/>
    </w:pPr>
  </w:style>
  <w:style w:type="paragraph" w:customStyle="1" w:styleId="21">
    <w:name w:val="Comments"/>
    <w:basedOn w:val="1"/>
    <w:qFormat/>
    <w:uiPriority w:val="0"/>
    <w:pPr>
      <w:autoSpaceDE/>
      <w:autoSpaceDN/>
      <w:adjustRightInd/>
      <w:spacing w:before="40"/>
      <w:jc w:val="left"/>
      <w:textAlignment w:val="auto"/>
    </w:pPr>
    <w:rPr>
      <w:rFonts w:ascii="Arial" w:hAnsi="Arial" w:eastAsia="MS Mincho"/>
      <w:i/>
      <w:sz w:val="18"/>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1584</Words>
  <Characters>9033</Characters>
  <Lines>75</Lines>
  <Paragraphs>21</Paragraphs>
  <TotalTime>1</TotalTime>
  <ScaleCrop>false</ScaleCrop>
  <LinksUpToDate>false</LinksUpToDate>
  <CharactersWithSpaces>10596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2022-08-03T06:38:00Z</dcterms:created>
  <dc:creator>CMCC_TJY</dc:creator>
  <cp:lastModifiedBy>CMCC</cp:lastModifiedBy>
  <dcterms:modified xsi:type="dcterms:W3CDTF">2023-05-12T07:55:39Z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C14077FD97884EC9B12D7109181756EC</vt:lpwstr>
  </property>
</Properties>
</file>